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/>
        <w:jc w:val="center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</w:rPr>
        <w:drawing xmlns:a="http://schemas.openxmlformats.org/drawingml/2006/main">
          <wp:inline distT="0" distB="0" distL="0" distR="0">
            <wp:extent cx="2914650" cy="1009650"/>
            <wp:effectExtent l="0" t="0" r="0" b="0"/>
            <wp:docPr id="1073741825" name="officeArt object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, clipartDescription automatically generated" descr="A picture containing text, clipar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before="100" w:after="100"/>
        <w:jc w:val="center"/>
        <w:rPr>
          <w:rFonts w:ascii="Arial" w:cs="Arial" w:hAnsi="Arial" w:eastAsia="Arial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BAETS-registered Fellowships in Endocrine Surgery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outline w:val="0"/>
          <w:color w:val="c00000"/>
          <w:sz w:val="32"/>
          <w:szCs w:val="32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c00000"/>
          <w:sz w:val="32"/>
          <w:szCs w:val="32"/>
          <w:u w:color="c00000"/>
          <w:rtl w:val="0"/>
          <w:lang w:val="de-DE"/>
          <w14:textFill>
            <w14:solidFill>
              <w14:srgbClr w14:val="C00000"/>
            </w14:solidFill>
          </w14:textFill>
        </w:rPr>
        <w:t>REGISTRATION FORM</w:t>
      </w:r>
    </w:p>
    <w:p>
      <w:pPr>
        <w:pStyle w:val="Body A"/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63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93"/>
        <w:gridCol w:w="7138"/>
      </w:tblGrid>
      <w:tr>
        <w:tblPrEx>
          <w:shd w:val="clear" w:color="auto" w:fill="cdd4e9"/>
        </w:tblPrEx>
        <w:trPr>
          <w:trHeight w:val="1152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Institution: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  <w:rPr>
                <w:shd w:val="nil" w:color="auto" w:fill="auto"/>
              </w:rPr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 xml:space="preserve">Royal Berkshire Hospital  </w:t>
            </w:r>
          </w:p>
          <w:p>
            <w:pPr>
              <w:pStyle w:val="Body"/>
              <w:bidi w:val="0"/>
              <w:spacing w:after="255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Royal College of Surgeons Approved Thyroid and Parathyroid post-CCT Fellowship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Duration of Fellowship: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12 months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Number of Available Fellowship Positions: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1224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  <w:rPr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Educational Supervisors</w:t>
            </w:r>
          </w:p>
          <w:p>
            <w:pPr>
              <w:pStyle w:val="Body A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 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  <w:rPr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Mr. Rogan Corbridge</w:t>
            </w:r>
          </w:p>
          <w:p>
            <w:pPr>
              <w:pStyle w:val="Body A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  <w:t>Mr. Sid Nagala (</w:t>
            </w: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research lead)</w:t>
            </w:r>
            <w:r>
              <w:rPr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lang w:val="en-US"/>
                <w14:textFill>
                  <w14:solidFill>
                    <w14:srgbClr w14:val="4A4A4A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Clinical Supervisors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  <w:t>Mr. Rogan Corbridge, Mr. Sid Nagala, Mr. Ram Moorthy, Mr. Matt Cherko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Contact details: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"mailto:rogan.corbridge@royalberkshire.nhs.uk"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rogan.corbridge@royalberkshire.nhs.uk</w:t>
            </w:r>
            <w:r>
              <w:rPr/>
              <w:fldChar w:fldCharType="end" w:fldLock="0"/>
            </w: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 xml:space="preserve">;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"mailto:sidhartha.nagala@royalberkshire.nhs.uk"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sidhartha.nagala@royalberkshire.nhs.uk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6164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Main opportunities provided by the Fellowship: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55" w:line="360" w:lineRule="auto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Thyroid and Parathyroid surgery.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 xml:space="preserve">Approximately 100 thyroidectomies and 60 parathyroidectomies performed per year with link in to Thames Valley Thyroid MDT.  </w:t>
            </w: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clear" w:color="auto" w:fill="ffffff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As the primary operating surgeon we would expect the fellow to perform a minimum of 50 operations. This would be broken down into at least 40 thyroid and 10 parathyroid operations (S-TS/S-TU/P/T).</w:t>
            </w:r>
            <w:r>
              <w:rPr>
                <w:rStyle w:val="None"/>
                <w:rFonts w:ascii="Arial" w:hAnsi="Arial" w:hint="default"/>
                <w:outline w:val="0"/>
                <w:color w:val="4a4a4a"/>
                <w:sz w:val="20"/>
                <w:szCs w:val="20"/>
                <w:u w:color="4a4a4a"/>
                <w:shd w:val="clear" w:color="auto" w:fill="ffffff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 xml:space="preserve">  </w:t>
            </w: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clear" w:color="auto" w:fill="ffffff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We would expect the fellow to mainly be operating at S-TU, P and T level towards the end of the fellowship.</w:t>
            </w:r>
            <w:r>
              <w:rPr>
                <w:rStyle w:val="None"/>
                <w:rFonts w:ascii="Arial" w:hAnsi="Arial" w:hint="default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 xml:space="preserve">” </w:t>
            </w: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The last certified fellow (2019-2020) performed 82 procedures (65 thyroid, 17 parathyroid) as the primary surgeon (despite COVID).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Opportunity to be involved in national NIHR thyroid trials (e.g. Thy3000/ Hot/ NIFTY).  Active research activity which includes publishing clinical papers as well as being involved in a research project with the University of Reading/ NIHR (development of Ultrasound AI software to classify thyroid nodules).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The department (Mr. Moorthy and Mr. Nagala) is also looking to start a transoral thyroid surgery programme - provisional dates end of 2022.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 xml:space="preserve">International Medical Graduates 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GMC-registered candidates eligible -yes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Funding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Local Trust Funding</w:t>
            </w:r>
          </w:p>
        </w:tc>
      </w:tr>
      <w:tr>
        <w:tblPrEx>
          <w:shd w:val="clear" w:color="auto" w:fill="cdd4e9"/>
        </w:tblPrEx>
        <w:trPr>
          <w:trHeight w:val="1224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Commitment to on call / out-of-hours work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 xml:space="preserve">1 in 8  evenings/ weekend ENT middle grade on calls (only if candidate ENT trained otherwise no on calls). NB Fellowship open to non-ENT post CCT surgeons (including General Surgery) looking to specialise in Thyroid/ Parathyroid surgery </w:t>
            </w:r>
          </w:p>
        </w:tc>
      </w:tr>
      <w:tr>
        <w:tblPrEx>
          <w:shd w:val="clear" w:color="auto" w:fill="cdd4e9"/>
        </w:tblPrEx>
        <w:trPr>
          <w:trHeight w:val="897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Preferred dates of starting / deadline for applications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Ideally October to October</w:t>
            </w:r>
          </w:p>
        </w:tc>
      </w:tr>
      <w:tr>
        <w:tblPrEx>
          <w:shd w:val="clear" w:color="auto" w:fill="cdd4e9"/>
        </w:tblPrEx>
        <w:trPr>
          <w:trHeight w:val="1152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Compulsory attributes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55" w:line="360" w:lineRule="auto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Yes - dedicated with a view to sub-specialising in Thyroid and Parathyroid Surgery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ideally Post-CCT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Desirable skills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Academic CV - e.g. track record of publications/ higher degree</w:t>
            </w:r>
          </w:p>
        </w:tc>
      </w:tr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Professional position of previous Fellows: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55" w:line="360" w:lineRule="auto"/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A4A4A"/>
                  </w14:solidFill>
                </w14:textFill>
              </w:rPr>
              <w:t>All work as Consultants.</w:t>
            </w:r>
          </w:p>
        </w:tc>
      </w:tr>
      <w:tr>
        <w:tblPrEx>
          <w:shd w:val="clear" w:color="auto" w:fill="cdd4e9"/>
        </w:tblPrEx>
        <w:trPr>
          <w:trHeight w:val="7317" w:hRule="atLeast"/>
        </w:trPr>
        <w:tc>
          <w:tcPr>
            <w:tcW w:type="dxa" w:w="2493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Comments in support of your position</w:t>
            </w:r>
          </w:p>
        </w:tc>
        <w:tc>
          <w:tcPr>
            <w:tcW w:type="dxa" w:w="7138"/>
            <w:tcBorders>
              <w:top w:val="single" w:color="dddddd" w:sz="6" w:space="0" w:shadow="0" w:frame="0"/>
              <w:left w:val="single" w:color="dddddd" w:sz="6" w:space="0" w:shadow="0" w:frame="0"/>
              <w:bottom w:val="single" w:color="dddddd" w:sz="6" w:space="0" w:shadow="0" w:frame="0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55" w:line="360" w:lineRule="auto"/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Publications: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"https://pubmed.ncbi.nlm.nih.gov/34277968/"</w:instrText>
            </w: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Malignancy rates and initial management of Thy3 thyroid nodules in a district general hospital: The 'Reading' experience.</w:t>
            </w:r>
            <w:r>
              <w:rPr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  <w:fldChar w:fldCharType="end" w:fldLock="0"/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de-DE"/>
                <w14:textFill>
                  <w14:solidFill>
                    <w14:srgbClr w14:val="212121"/>
                  </w14:solidFill>
                </w14:textFill>
              </w:rPr>
              <w:t>Nair D, Kandiah S, Rourke T, Corbridge R, Nagala S.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:lang w:val="en-US"/>
                <w14:textFill>
                  <w14:solidFill>
                    <w14:srgbClr w14:val="4D8055"/>
                  </w14:solidFill>
                </w14:textFill>
              </w:rPr>
              <w:t>Endocrinol Diabetes Metab. 2021 Feb 24;4(3):e00243</w:t>
            </w:r>
          </w:p>
          <w:p>
            <w:pPr>
              <w:pStyle w:val="Default"/>
              <w:spacing w:before="0" w:line="240" w:lineRule="auto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</w:pP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"https://pubmed.ncbi.nlm.nih.gov/34537910/"</w:instrText>
            </w:r>
            <w:r>
              <w:rPr>
                <w:rStyle w:val="Hyperlink.2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Clinical efficacy of fixed-dose radioactive iodine for the treatment of hyperthyroidism at a single centre: our experience.</w:t>
            </w:r>
            <w:r>
              <w:rPr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  <w:fldChar w:fldCharType="end" w:fldLock="0"/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14:textFill>
                  <w14:solidFill>
                    <w14:srgbClr w14:val="212121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212121"/>
                <w:sz w:val="20"/>
                <w:szCs w:val="20"/>
                <w:u w:color="212121"/>
                <w:shd w:val="clear" w:color="auto" w:fill="ffffff"/>
                <w:rtl w:val="0"/>
                <w:lang w:val="de-DE"/>
                <w14:textFill>
                  <w14:solidFill>
                    <w14:srgbClr w14:val="212121"/>
                  </w14:solidFill>
                </w14:textFill>
              </w:rPr>
              <w:t>Nair D, Maweni R, Constantinou C, Kandiah S, Nagala S, Aung T.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  <w:t xml:space="preserve">Ir J Med Sci. 2022 Aug;191(4):1659-1665. 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:rtl w:val="0"/>
                <w14:textFill>
                  <w14:solidFill>
                    <w14:srgbClr w14:val="4D8055"/>
                  </w14:solidFill>
                </w14:textFill>
              </w:rPr>
            </w:pPr>
          </w:p>
          <w:p>
            <w:pPr>
              <w:pStyle w:val="Default"/>
              <w:spacing w:before="0" w:line="240" w:lineRule="auto"/>
              <w:rPr>
                <w:rStyle w:val="None"/>
                <w:rFonts w:ascii="Arial" w:cs="Arial" w:hAnsi="Arial" w:eastAsia="Arial"/>
                <w:outline w:val="0"/>
                <w:color w:val="4c7f54"/>
                <w:sz w:val="20"/>
                <w:szCs w:val="20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Style w:val="Hyperlink.3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  <w:instrText xml:space="preserve"> HYPERLINK "https://pubmed.ncbi.nlm.nih.gov/35576381/"</w:instrText>
            </w:r>
            <w:r>
              <w:rPr>
                <w:rStyle w:val="Hyperlink.3"/>
                <w:rFonts w:ascii="Arial" w:cs="Arial" w:hAnsi="Arial" w:eastAsia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Arial" w:hAnsi="Arial"/>
                <w:outline w:val="0"/>
                <w:color w:val="0000ff"/>
                <w:sz w:val="20"/>
                <w:szCs w:val="20"/>
                <w:u w:val="single" w:color="0000ff"/>
                <w:shd w:val="clear" w:color="auto" w:fill="ffff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Evolution of transoral endoscopic thyroidectomy vestibular approach according to the IDEAL framework.</w:t>
            </w:r>
            <w:r>
              <w:rPr>
                <w:rFonts w:ascii="Arial" w:cs="Arial" w:hAnsi="Arial" w:eastAsia="Arial"/>
                <w:outline w:val="0"/>
                <w:color w:val="0071bb"/>
                <w:sz w:val="20"/>
                <w:szCs w:val="20"/>
                <w:shd w:val="clear" w:color="auto" w:fill="ffffff"/>
                <w14:textFill>
                  <w14:solidFill>
                    <w14:srgbClr w14:val="0071BC"/>
                  </w14:solidFill>
                </w14:textFill>
              </w:rPr>
              <w:fldChar w:fldCharType="end" w:fldLock="0"/>
            </w:r>
          </w:p>
          <w:p>
            <w:pPr>
              <w:pStyle w:val="Default"/>
              <w:spacing w:before="0" w:line="240" w:lineRule="auto"/>
              <w:rPr>
                <w:rFonts w:ascii="Arial" w:cs="Arial" w:hAnsi="Arial" w:eastAsia="Arial"/>
                <w:outline w:val="0"/>
                <w:color w:val="202020"/>
                <w:sz w:val="20"/>
                <w:szCs w:val="20"/>
                <w:shd w:val="clear" w:color="auto" w:fill="ffffff"/>
                <w14:textFill>
                  <w14:solidFill>
                    <w14:srgbClr w14:val="212121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202020"/>
                <w:sz w:val="20"/>
                <w:szCs w:val="20"/>
                <w:shd w:val="clear" w:color="auto" w:fill="ffffff"/>
                <w:rtl w:val="0"/>
                <w:lang w:val="nl-NL"/>
                <w14:textFill>
                  <w14:solidFill>
                    <w14:srgbClr w14:val="212121"/>
                  </w14:solidFill>
                </w14:textFill>
              </w:rPr>
              <w:t>Lee SH, Moorthy R, Nagala S.</w:t>
            </w:r>
          </w:p>
          <w:p>
            <w:pPr>
              <w:pStyle w:val="Default"/>
              <w:spacing w:before="0" w:line="240" w:lineRule="auto"/>
              <w:rPr>
                <w:rStyle w:val="None"/>
                <w:rFonts w:ascii="Arial" w:cs="Arial" w:hAnsi="Arial" w:eastAsia="Arial"/>
                <w:outline w:val="0"/>
                <w:color w:val="4c7f54"/>
                <w:sz w:val="20"/>
                <w:szCs w:val="20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4c7f54"/>
                <w:sz w:val="20"/>
                <w:szCs w:val="20"/>
                <w:shd w:val="clear" w:color="auto" w:fill="ffffff"/>
                <w:rtl w:val="0"/>
                <w:lang w:val="en-US"/>
                <w14:textFill>
                  <w14:solidFill>
                    <w14:srgbClr w14:val="4D8055"/>
                  </w14:solidFill>
                </w14:textFill>
              </w:rPr>
              <w:t>Br J Surg. 2022 May 16;109(6):497-502</w:t>
            </w:r>
          </w:p>
          <w:p>
            <w:pPr>
              <w:pStyle w:val="Default"/>
              <w:spacing w:before="0" w:line="240" w:lineRule="auto"/>
              <w:rPr>
                <w:rStyle w:val="None"/>
                <w:rFonts w:ascii="Arial" w:cs="Arial" w:hAnsi="Arial" w:eastAsia="Arial"/>
                <w:outline w:val="0"/>
                <w:color w:val="4d8055"/>
                <w:sz w:val="20"/>
                <w:szCs w:val="20"/>
                <w:u w:color="4d8055"/>
                <w:shd w:val="clear" w:color="auto" w:fill="ffffff"/>
                <w14:textFill>
                  <w14:solidFill>
                    <w14:srgbClr w14:val="4D8055"/>
                  </w14:solidFill>
                </w14:textFill>
              </w:rPr>
            </w:pP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NIHR Activity: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Recently approved active recruitment site for the HoT Trial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Completed data collection for Thy3000 project.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outline w:val="0"/>
                <w:color w:val="323130"/>
                <w:sz w:val="20"/>
                <w:szCs w:val="20"/>
                <w:u w:color="323130"/>
                <w:shd w:val="clear" w:color="auto" w:fill="ffffff"/>
                <w:rtl w:val="0"/>
                <w14:textFill>
                  <w14:solidFill>
                    <w14:srgbClr w14:val="323130"/>
                  </w14:solidFill>
                </w14:textFill>
              </w:rPr>
            </w:pPr>
            <w:r>
              <w:rPr>
                <w:rStyle w:val="None"/>
                <w:rFonts w:ascii="Arial" w:hAnsi="Arial"/>
                <w:outline w:val="0"/>
                <w:color w:val="323130"/>
                <w:sz w:val="20"/>
                <w:szCs w:val="20"/>
                <w:u w:color="323130"/>
                <w:shd w:val="clear" w:color="auto" w:fill="ffffff"/>
                <w:rtl w:val="0"/>
                <w:lang w:val="de-DE"/>
                <w14:textFill>
                  <w14:solidFill>
                    <w14:srgbClr w14:val="323130"/>
                  </w14:solidFill>
                </w14:textFill>
              </w:rPr>
              <w:t xml:space="preserve">IRAS 284038 - </w:t>
            </w:r>
            <w:r>
              <w:rPr>
                <w:rStyle w:val="None"/>
                <w:rFonts w:ascii="Arial" w:hAnsi="Arial"/>
                <w:outline w:val="0"/>
                <w:color w:val="323130"/>
                <w:sz w:val="20"/>
                <w:szCs w:val="20"/>
                <w:u w:color="323130"/>
                <w:shd w:val="clear" w:color="auto" w:fill="fff100"/>
                <w:rtl w:val="0"/>
                <w:lang w:val="en-US"/>
                <w14:textFill>
                  <w14:solidFill>
                    <w14:srgbClr w14:val="323130"/>
                  </w14:solidFill>
                </w14:textFill>
              </w:rPr>
              <w:t>Ultrasound</w:t>
            </w:r>
            <w:r>
              <w:rPr>
                <w:rStyle w:val="None"/>
                <w:rFonts w:ascii="Arial" w:hAnsi="Arial"/>
                <w:outline w:val="0"/>
                <w:color w:val="323130"/>
                <w:sz w:val="20"/>
                <w:szCs w:val="20"/>
                <w:u w:color="323130"/>
                <w:shd w:val="clear" w:color="auto" w:fill="ffffff"/>
                <w:rtl w:val="0"/>
                <w:lang w:val="en-US"/>
                <w14:textFill>
                  <w14:solidFill>
                    <w14:srgbClr w14:val="323130"/>
                  </w14:solidFill>
                </w14:textFill>
              </w:rPr>
              <w:t xml:space="preserve"> AI of thyroid nodules to enhance preoperative diagnosis - project due to be presented as an oral presentation BAETS 2022 conference</w:t>
            </w:r>
          </w:p>
          <w:p>
            <w:pPr>
              <w:pStyle w:val="Default"/>
              <w:spacing w:before="0" w:line="240" w:lineRule="auto"/>
              <w:rPr>
                <w:rStyle w:val="None"/>
                <w:rFonts w:ascii="Arial" w:cs="Arial" w:hAnsi="Arial" w:eastAsia="Arial"/>
                <w:outline w:val="0"/>
                <w:color w:val="323130"/>
                <w:sz w:val="20"/>
                <w:szCs w:val="20"/>
                <w:u w:color="323130"/>
                <w:shd w:val="nil" w:color="auto" w:fill="auto"/>
                <w:lang w:val="en-US"/>
                <w14:textFill>
                  <w14:solidFill>
                    <w14:srgbClr w14:val="323130"/>
                  </w14:solidFill>
                </w14:textFill>
              </w:rPr>
            </w:pP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14:textFill>
                  <w14:solidFill>
                    <w14:srgbClr w14:val="4A4A4A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In Progress:</w:t>
            </w:r>
          </w:p>
          <w:p>
            <w:pPr>
              <w:pStyle w:val="Body A"/>
              <w:bidi w:val="0"/>
              <w:spacing w:after="255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outline w:val="0"/>
                <w:color w:val="4a4a4a"/>
                <w:sz w:val="20"/>
                <w:szCs w:val="20"/>
                <w:u w:color="4a4a4a"/>
                <w:shd w:val="nil" w:color="auto" w:fill="auto"/>
                <w:rtl w:val="0"/>
                <w:lang w:val="en-US"/>
                <w14:textFill>
                  <w14:solidFill>
                    <w14:srgbClr w14:val="4A4A4A"/>
                  </w14:solidFill>
                </w14:textFill>
              </w:rPr>
              <w:t>Process of registering for PARACAN National Audit, NIFTY Trial</w:t>
            </w:r>
          </w:p>
        </w:tc>
      </w:tr>
    </w:tbl>
    <w:p>
      <w:pPr>
        <w:pStyle w:val="Body A"/>
        <w:widowControl w:val="0"/>
        <w:ind w:left="108" w:hanging="108"/>
        <w:jc w:val="center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widowControl w:val="0"/>
        <w:jc w:val="center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spacing w:before="100" w:after="100" w:line="360" w:lineRule="auto"/>
        <w:jc w:val="center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 A"/>
        <w:spacing w:before="100" w:after="100" w:line="360" w:lineRule="auto"/>
        <w:jc w:val="center"/>
      </w:pP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Please return this form to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"mailto:radumihai@doctors.org.uk"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radumihai@doctors.org.uk</w:t>
      </w:r>
      <w:r>
        <w:rPr/>
        <w:fldChar w:fldCharType="end" w:fldLock="0"/>
      </w:r>
      <w:r>
        <w:rPr>
          <w:rStyle w:val="None"/>
          <w:rFonts w:ascii="Arial" w:hAnsi="Arial"/>
          <w:sz w:val="20"/>
          <w:szCs w:val="20"/>
          <w:rtl w:val="0"/>
          <w:lang w:val="en-US"/>
        </w:rPr>
        <w:t xml:space="preserve"> or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"mailto:info@baets.org.uk"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info@baets.org.uk</w:t>
      </w:r>
      <w:r>
        <w:rPr/>
        <w:fldChar w:fldCharType="end" w:fldLock="0"/>
      </w:r>
      <w:r>
        <w:rPr>
          <w:rStyle w:val="None"/>
          <w:rFonts w:ascii="Arial" w:hAnsi="Arial"/>
          <w:sz w:val="20"/>
          <w:szCs w:val="20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851" w:right="851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sz w:val="20"/>
      <w:szCs w:val="20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Hyperlink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4">
    <w:name w:val="Hyperlink.4"/>
    <w:basedOn w:val="None"/>
    <w:next w:val="Hyperlink.4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